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Организация игровой деятельности в ДМЦ для детей 3–4 лет</w:t>
      </w:r>
    </w:p>
    <w:p>
      <w:pPr>
        <w:pStyle w:val="Heading2"/>
      </w:pPr>
      <w:r>
        <w:t>1. Цели игровой деятельности</w:t>
      </w:r>
    </w:p>
    <w:p>
      <w:r>
        <w:t>• Создание условий для всестороннего развития ребёнка через игру.</w:t>
      </w:r>
    </w:p>
    <w:p>
      <w:r>
        <w:t>• Формирование социальных навыков: умение взаимодействовать со сверстниками, делиться, договариваться.</w:t>
      </w:r>
    </w:p>
    <w:p>
      <w:r>
        <w:t>• Развитие познавательного интереса, речи, мелкой и крупной моторики.</w:t>
      </w:r>
    </w:p>
    <w:p>
      <w:r>
        <w:t>• Воспитание самостоятельности, инициативы и эмоциональной отзывчивости.</w:t>
      </w:r>
    </w:p>
    <w:p>
      <w:pPr>
        <w:pStyle w:val="Heading2"/>
      </w:pPr>
      <w:r>
        <w:t>2. Основные принципы организации игр</w:t>
      </w:r>
    </w:p>
    <w:p>
      <w:r>
        <w:t>• Доступность и безопасность – пространство адаптировано под возраст, игрушки безопасные.</w:t>
      </w:r>
    </w:p>
    <w:p>
      <w:r>
        <w:t>• Развивающая среда – материалы расположены на уровне детей, свободный выбор деятельности.</w:t>
      </w:r>
    </w:p>
    <w:p>
      <w:r>
        <w:t>• Смена видов активности – чередование подвижных, спокойных, сюжетных и дидактических игр.</w:t>
      </w:r>
    </w:p>
    <w:p>
      <w:r>
        <w:t>• Индивидуальный и групповой подход – учет особенностей и интересов детей.</w:t>
      </w:r>
    </w:p>
    <w:p>
      <w:r>
        <w:t>• Кратковременность и динамичность – длительность игры 5–10 минут.</w:t>
      </w:r>
    </w:p>
    <w:p>
      <w:pPr>
        <w:pStyle w:val="Heading2"/>
      </w:pPr>
      <w:r>
        <w:t>3. Виды игровой деятельности</w:t>
      </w:r>
    </w:p>
    <w:p>
      <w:r>
        <w:t>• Сюжетно-ролевые игры: «Семья», «Магазин», «Доктор», «Строители».</w:t>
      </w:r>
    </w:p>
    <w:p>
      <w:r>
        <w:t>• Подвижные игры: «Поймай мяч», «Зайчики и волк», «Цветные кубики».</w:t>
      </w:r>
    </w:p>
    <w:p>
      <w:r>
        <w:t>• Дидактические игры: сортировка по цвету, мозаика, пазлы.</w:t>
      </w:r>
    </w:p>
    <w:p>
      <w:r>
        <w:t>• Строительные игры: кубики, конструкторы, мягкие модули.</w:t>
      </w:r>
    </w:p>
    <w:p>
      <w:r>
        <w:t>• Сенсорные игры: песок, вода, крупы, сенсорные коробки.</w:t>
      </w:r>
    </w:p>
    <w:p>
      <w:pPr>
        <w:pStyle w:val="Heading2"/>
      </w:pPr>
      <w:r>
        <w:t>4. Организация пространства</w:t>
      </w:r>
    </w:p>
    <w:p>
      <w:r>
        <w:t>• Зонирование: сюжетная, строительная, книжная, сенсорная, подвижная, творческая.</w:t>
      </w:r>
    </w:p>
    <w:p>
      <w:r>
        <w:t>• Свободный доступ к игрушкам.</w:t>
      </w:r>
    </w:p>
    <w:p>
      <w:r>
        <w:t>• Обновление материалов.</w:t>
      </w:r>
    </w:p>
    <w:p>
      <w:r>
        <w:t>• Спокойные зоны для уединения.</w:t>
      </w:r>
    </w:p>
    <w:p>
      <w:pPr>
        <w:pStyle w:val="Heading2"/>
      </w:pPr>
      <w:r>
        <w:t>5. Роль педагога</w:t>
      </w:r>
    </w:p>
    <w:p>
      <w:r>
        <w:t>• Создание развивающей среды.</w:t>
      </w:r>
    </w:p>
    <w:p>
      <w:r>
        <w:t>• Мягкое направление детской игры.</w:t>
      </w:r>
    </w:p>
    <w:p>
      <w:r>
        <w:t>• Поддержка инициативы.</w:t>
      </w:r>
    </w:p>
    <w:p>
      <w:r>
        <w:t>• Участие в игре как партнёр.</w:t>
      </w:r>
    </w:p>
    <w:p>
      <w:r>
        <w:t>• Формирование навыков общения.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